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6274C07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3D668DF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CD019F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8B24CB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7F460D6C">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54E84903">
      <w:pPr>
        <w:wordWrap w:val="0"/>
        <w:spacing w:before="0" w:after="0" w:line="420" w:lineRule="exact"/>
        <w:ind w:left="0" w:right="0"/>
        <w:jc w:val="center"/>
        <w:textAlignment w:val="baseline"/>
        <w:rPr>
          <w:sz w:val="30"/>
        </w:rPr>
      </w:pPr>
    </w:p>
    <w:p w14:paraId="6F8B7B5F">
      <w:pPr>
        <w:wordWrap w:val="0"/>
        <w:spacing w:before="0" w:after="0" w:line="420" w:lineRule="exact"/>
        <w:ind w:left="0" w:right="0"/>
        <w:jc w:val="center"/>
        <w:textAlignment w:val="baseline"/>
        <w:rPr>
          <w:sz w:val="30"/>
        </w:rPr>
      </w:pPr>
    </w:p>
    <w:p w14:paraId="10D3A100">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7"/>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41C74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0" w:hRule="atLeast"/>
        </w:trPr>
        <w:tc>
          <w:tcPr>
            <w:tcW w:w="1060" w:type="dxa"/>
            <w:vAlign w:val="center"/>
          </w:tcPr>
          <w:p w14:paraId="71FE3B17">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3527DBC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0025BF96">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6D30CDE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394C184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4A38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A4FFAD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EB0443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6524A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DF4E9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5EF891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CFE1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077BB98A">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39D95A7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AC6D7D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2381BF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8312D0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446F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6E511B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771CC18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85C4EF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83331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01A23C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91B9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2F85A27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8BBE7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20BE6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3BDC0F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D04958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1D41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AE227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8A307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3291FF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4D8F16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F17928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40C5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0253FB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ECD7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8840A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FEBCBA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D5B0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7B1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79F072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9F655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BB2FC9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201DFF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F645C7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2397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5043D28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7AAD0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D7988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A381AC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10B4D9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400EC314">
      <w:pPr>
        <w:wordWrap w:val="0"/>
        <w:spacing w:before="0" w:after="0" w:line="420" w:lineRule="exact"/>
        <w:ind w:left="0" w:right="0"/>
        <w:jc w:val="left"/>
        <w:textAlignment w:val="baseline"/>
        <w:rPr>
          <w:sz w:val="31"/>
        </w:rPr>
      </w:pPr>
    </w:p>
    <w:p w14:paraId="455DCB73">
      <w:pPr>
        <w:wordWrap w:val="0"/>
        <w:spacing w:before="0" w:after="0" w:line="420" w:lineRule="exact"/>
        <w:ind w:left="0" w:right="0"/>
        <w:jc w:val="left"/>
        <w:textAlignment w:val="baseline"/>
        <w:rPr>
          <w:sz w:val="31"/>
        </w:rPr>
      </w:pPr>
    </w:p>
    <w:p w14:paraId="456065FB">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607B13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6AA87F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803563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F0B68F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1E4312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2A5C14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72E7B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75033E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E4608B9">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691A4A79">
      <w:pPr>
        <w:pStyle w:val="5"/>
        <w:rPr>
          <w:rFonts w:hint="eastAsia"/>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2710A2B8">
            <w:pPr>
              <w:adjustRightInd w:val="0"/>
              <w:snapToGrid w:val="0"/>
              <w:ind w:right="105" w:rightChars="5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rPr>
              <w:t>服务内容:</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2" w:firstLineChars="200"/>
              <w:jc w:val="both"/>
              <w:textAlignment w:val="baseline"/>
              <w:rPr>
                <w:rFonts w:hint="default" w:ascii="宋体" w:hAnsi="宋体" w:eastAsia="宋体" w:cs="宋体"/>
                <w:b w:val="0"/>
                <w:i w:val="0"/>
                <w:strike w:val="0"/>
                <w:color w:val="000000"/>
                <w:sz w:val="22"/>
                <w:szCs w:val="22"/>
                <w:lang w:val="en-US" w:eastAsia="zh-CN"/>
              </w:rPr>
            </w:pPr>
            <w:r>
              <w:rPr>
                <w:rFonts w:hint="eastAsia" w:ascii="宋体" w:hAnsi="宋体" w:eastAsia="宋体" w:cs="宋体"/>
                <w:b/>
                <w:sz w:val="20"/>
                <w:szCs w:val="20"/>
              </w:rPr>
              <w:t>★</w:t>
            </w:r>
            <w:r>
              <w:rPr>
                <w:rFonts w:hint="eastAsia" w:ascii="宋体" w:hAnsi="宋体" w:eastAsia="宋体" w:cs="宋体"/>
                <w:b w:val="0"/>
                <w:i w:val="0"/>
                <w:strike w:val="0"/>
                <w:color w:val="000000"/>
                <w:sz w:val="22"/>
                <w:szCs w:val="22"/>
                <w:lang w:val="en-US" w:eastAsia="zh-CN"/>
              </w:rPr>
              <w:t>服务内容</w:t>
            </w:r>
          </w:p>
          <w:p w14:paraId="6E92213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我单位为国家重点研发项目《新冠疫情临床预警监测体系构建与应用研究》合作单位，根据项目内容需要进行20个样本（样本种类不限）的NGS病原体宏基因检测，检测原理需要与项目牵头承担单位保持一致，保证样本NGS病原体宏基因检测结果的准确性和特异性。</w:t>
            </w:r>
          </w:p>
          <w:p w14:paraId="138B9A6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检测目的及原理：明确病原微生物宏基因组测序的操作规程，指导实验人员运用宏基因组测序技术正确检测病原微生物核酸，保证结果准确、可靠。感染病原高通量测序基于标本中的核酸进行检测，鉴定标本中存在的可疑致病微生物。可检测范围包括基因组序列已知的 12895 种细菌、11120 种病毒、1582 种真菌、312 种寄生虫、177 种分枝杆菌复合群（11 个结核分枝杆菌复合群、166 个非结核分枝杆菌）和 184 种支原体/衣原体。同时，检测鉴定标本中存在的疑似耐药基因，从而根据耐药基因预测标本中细菌的可能耐药性。该检测采用高通量测序技术，对标本中微生物核酸序列进行分析，通过与数据库中已有微生物的核酸序列进行比对，从而对微生物进行鉴定。以机器学习(machine learning)进行同步式错误探查(error modeling)、背景清除(denoising)与精确序列推理(exact sequence inference)，严格质控系统，自动消除假阳性结果。</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采购文件“附件-服务协议”全部内容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bookmarkStart w:id="2" w:name="_GoBack"/>
            <w:bookmarkEnd w:id="2"/>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3F6ED6C8">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自协议签署之日起至全部样本检测完成且甲方对检测结果无异议之日止。</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甲方指定地点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4EFC7E86">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在乙方项目执行完成后，提交完整项目支持性材料，如经甲方审查认定支持性材料符合项目要求，确已反映项目相关服务，甲方将在收到乙方提交的同等金额正是有效的标准专用发票之日起60个工作日内支付相关费用至乙方指定账户</w:t>
            </w:r>
            <w:r>
              <w:rPr>
                <w:rFonts w:hint="eastAsia" w:ascii="宋体" w:hAnsi="宋体" w:eastAsia="宋体" w:cs="宋体"/>
                <w:szCs w:val="21"/>
              </w:rPr>
              <w:t>。</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C2751BC">
      <w:pPr>
        <w:spacing w:line="360" w:lineRule="auto"/>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6360E0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7"/>
        <w:tblW w:w="501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5"/>
        <w:gridCol w:w="4075"/>
        <w:gridCol w:w="3531"/>
        <w:gridCol w:w="2326"/>
        <w:gridCol w:w="2564"/>
        <w:gridCol w:w="2253"/>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53095E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5A210C1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83" w:right="720" w:bottom="283"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746E4C1">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6784C8B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04154C5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7"/>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0" w:hRule="atLeast"/>
        </w:trPr>
        <w:tc>
          <w:tcPr>
            <w:tcW w:w="223"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53F1E1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0E85552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4C3D3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0C9AD3F3">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0A4151DC"/>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8C7623"/>
    <w:rsid w:val="09705DB2"/>
    <w:rsid w:val="09937675"/>
    <w:rsid w:val="10F611EF"/>
    <w:rsid w:val="14284445"/>
    <w:rsid w:val="17690D6E"/>
    <w:rsid w:val="177F397C"/>
    <w:rsid w:val="19544E4B"/>
    <w:rsid w:val="1B6868D0"/>
    <w:rsid w:val="1C66504C"/>
    <w:rsid w:val="1CBC754D"/>
    <w:rsid w:val="1EA700E5"/>
    <w:rsid w:val="2319127B"/>
    <w:rsid w:val="244A5959"/>
    <w:rsid w:val="295339EF"/>
    <w:rsid w:val="2F8C5B19"/>
    <w:rsid w:val="37515F68"/>
    <w:rsid w:val="38853CBC"/>
    <w:rsid w:val="38ED4C7C"/>
    <w:rsid w:val="3A57704A"/>
    <w:rsid w:val="3CDC223A"/>
    <w:rsid w:val="3D9F0E00"/>
    <w:rsid w:val="3F2A72E6"/>
    <w:rsid w:val="404D19C2"/>
    <w:rsid w:val="43BB7D65"/>
    <w:rsid w:val="441F0B59"/>
    <w:rsid w:val="46C540FD"/>
    <w:rsid w:val="47971C01"/>
    <w:rsid w:val="4E21063A"/>
    <w:rsid w:val="51CF201C"/>
    <w:rsid w:val="520867C2"/>
    <w:rsid w:val="554D4385"/>
    <w:rsid w:val="56061CE0"/>
    <w:rsid w:val="57E83927"/>
    <w:rsid w:val="5D6116DA"/>
    <w:rsid w:val="603A467B"/>
    <w:rsid w:val="603D69B3"/>
    <w:rsid w:val="619B08AD"/>
    <w:rsid w:val="672927A9"/>
    <w:rsid w:val="6BB048A5"/>
    <w:rsid w:val="6C027255"/>
    <w:rsid w:val="703924F6"/>
    <w:rsid w:val="72C07F43"/>
    <w:rsid w:val="732B19E8"/>
    <w:rsid w:val="7406030B"/>
    <w:rsid w:val="759F24E1"/>
    <w:rsid w:val="7ABD74B4"/>
    <w:rsid w:val="7E94724A"/>
    <w:rsid w:val="7EA072A8"/>
    <w:rsid w:val="7FE9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Indent 3"/>
    <w:basedOn w:val="1"/>
    <w:qFormat/>
    <w:uiPriority w:val="0"/>
    <w:pPr>
      <w:spacing w:line="380" w:lineRule="exact"/>
      <w:ind w:firstLine="480"/>
    </w:pPr>
    <w:rPr>
      <w:kern w:val="0"/>
      <w:sz w:val="24"/>
      <w:szCs w:val="20"/>
    </w:rPr>
  </w:style>
  <w:style w:type="paragraph" w:styleId="5">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6">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3753</Words>
  <Characters>3875</Characters>
  <Lines>0</Lines>
  <Paragraphs>0</Paragraphs>
  <TotalTime>5</TotalTime>
  <ScaleCrop>false</ScaleCrop>
  <LinksUpToDate>false</LinksUpToDate>
  <CharactersWithSpaces>4582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2025-06-24T00:24:00Z</cp:lastPrinted>
  <dcterms:modified xsi:type="dcterms:W3CDTF">2025-07-07T00:36:14Z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017E3DA433104A198F9501B70BE2568E_13</vt:lpwstr>
  </property>
  <property fmtid="{D5CDD505-2E9C-101B-9397-08002B2CF9AE}" pid="4" name="KSOTemplateDocerSaveRecord">
    <vt:lpwstr>eyJoZGlkIjoiZDdhM2I1NmQ2MmNhOTgzNjYwNGUzODgxNTViODc4YWYiLCJ1c2VySWQiOiI5MTU5MzcxODAifQ==</vt:lpwstr>
  </property>
</Properties>
</file>