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bookmarkStart w:id="2" w:name="_GoBack"/>
      <w:bookmarkEnd w:id="2"/>
      <w:r>
        <w:rPr>
          <w:rFonts w:hint="eastAsia" w:ascii="宋体" w:hAnsi="宋体" w:eastAsia="宋体" w:cs="宋体"/>
          <w:b w:val="0"/>
          <w:i w:val="0"/>
          <w:strike w:val="0"/>
          <w:color w:val="000000"/>
          <w:sz w:val="45"/>
          <w:lang w:val="en-US" w:eastAsia="zh-CN"/>
        </w:rPr>
        <w:t>沈阳市第六人民医院病媒生物防治服务招标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779E3D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w:t>
      </w:r>
      <w:r>
        <w:rPr>
          <w:rFonts w:hint="eastAsia" w:ascii="宋体" w:hAnsi="宋体" w:eastAsia="宋体" w:cs="宋体"/>
          <w:b w:val="0"/>
          <w:i w:val="0"/>
          <w:strike w:val="0"/>
          <w:color w:val="000000"/>
          <w:sz w:val="30"/>
          <w:szCs w:val="30"/>
        </w:rPr>
        <w:t>前六个月内任一个月的依法缴纳税收的缴款凭据复印件（注：依法免税的供应商，应提供相关证明材料，包括相关法规要求原文及加盖公章的情况说明）</w:t>
      </w:r>
    </w:p>
    <w:p w14:paraId="534169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w:t>
      </w:r>
      <w:r>
        <w:rPr>
          <w:rFonts w:hint="eastAsia" w:ascii="宋体" w:hAnsi="宋体" w:eastAsia="宋体" w:cs="宋体"/>
          <w:b w:val="0"/>
          <w:i w:val="0"/>
          <w:strike w:val="0"/>
          <w:color w:val="000000"/>
          <w:sz w:val="30"/>
          <w:szCs w:val="30"/>
        </w:rPr>
        <w:t>前六个月内任一个月的依法缴纳社会保障资金的缴款凭据复印件（注：依法不需要缴纳社会保障资金的供应商，应提供相关证明材料，包括相关法规要求原文及加盖公章的情况说明）</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3429B8E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10、有害生物防制服务A级服务资质</w:t>
      </w:r>
    </w:p>
    <w:p w14:paraId="0CC16E2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11、至少提供四本消杀人员证书（供应商须提供人员有效的证书复印件及响应文件截止时间前六个月内任一个月供应商为相关人员缴纳社会保障资金的缴款凭据复印件或用工合同复印件）</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2</w:t>
      </w:r>
      <w:r>
        <w:rPr>
          <w:rFonts w:ascii="宋体" w:hAnsi="宋体" w:eastAsia="宋体" w:cs="宋体"/>
          <w:b w:val="0"/>
          <w:i w:val="0"/>
          <w:strike w:val="0"/>
          <w:color w:val="000000"/>
          <w:sz w:val="30"/>
          <w:szCs w:val="30"/>
        </w:rPr>
        <w:t>、报价函(格式7)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3</w:t>
      </w:r>
      <w:r>
        <w:rPr>
          <w:rFonts w:ascii="宋体" w:hAnsi="宋体" w:eastAsia="宋体" w:cs="宋体"/>
          <w:b w:val="0"/>
          <w:i w:val="0"/>
          <w:strike w:val="0"/>
          <w:color w:val="000000"/>
          <w:sz w:val="30"/>
          <w:szCs w:val="30"/>
        </w:rPr>
        <w:t>、报价一览表(格式8)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4</w:t>
      </w:r>
      <w:r>
        <w:rPr>
          <w:rFonts w:ascii="宋体" w:hAnsi="宋体" w:eastAsia="宋体" w:cs="宋体"/>
          <w:b w:val="0"/>
          <w:i w:val="0"/>
          <w:strike w:val="0"/>
          <w:color w:val="000000"/>
          <w:sz w:val="30"/>
          <w:szCs w:val="30"/>
        </w:rPr>
        <w:t>、服务价格明细表(格式9)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16、商务条款偏离表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17、维保范围和内容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9</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20</w:t>
      </w:r>
      <w:r>
        <w:rPr>
          <w:rFonts w:ascii="宋体" w:hAnsi="宋体" w:eastAsia="宋体" w:cs="宋体"/>
          <w:b w:val="0"/>
          <w:i w:val="0"/>
          <w:strike w:val="0"/>
          <w:color w:val="000000"/>
          <w:sz w:val="30"/>
          <w:szCs w:val="30"/>
        </w:rPr>
        <w:t>、售后服务承诺书</w:t>
      </w:r>
    </w:p>
    <w:p w14:paraId="464E67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上述材料均需原件或盖章后的复印件，如以上资料不全或与要求不符视为作废。</w:t>
      </w:r>
    </w:p>
    <w:p w14:paraId="368A28D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rPr>
        <w:t>在供应商二次报价相同的情形下，成交供应商的确定应遵循以下顺序：</w:t>
      </w:r>
    </w:p>
    <w:p w14:paraId="1D08498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1</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优先技术指标优势：考量技术指标优势。由采购项目评价小组对各供应商的技术方案、服务承诺以及服务能力等指标进行比较，依据其优劣程度来确定成交供应商。</w:t>
      </w:r>
    </w:p>
    <w:p w14:paraId="38B9E33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最终报价高低：若经上述比较，各供应商的技术、服务指标仍难以区分，报价相同的供应商需再次报价，按照第三次报价高低作为确定成交供应商的依据。</w:t>
      </w:r>
    </w:p>
    <w:p w14:paraId="5872966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3</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其他情况，由</w:t>
      </w:r>
      <w:r>
        <w:rPr>
          <w:rFonts w:hint="eastAsia" w:ascii="宋体" w:hAnsi="宋体" w:eastAsia="宋体" w:cs="宋体"/>
          <w:b w:val="0"/>
          <w:i w:val="0"/>
          <w:strike w:val="0"/>
          <w:color w:val="000000"/>
          <w:sz w:val="30"/>
          <w:szCs w:val="30"/>
          <w:lang w:val="en-US" w:eastAsia="zh-CN"/>
        </w:rPr>
        <w:t>采购项目评价小组</w:t>
      </w:r>
      <w:r>
        <w:rPr>
          <w:rFonts w:hint="eastAsia" w:ascii="宋体" w:hAnsi="宋体" w:eastAsia="宋体" w:cs="宋体"/>
          <w:b w:val="0"/>
          <w:i w:val="0"/>
          <w:strike w:val="0"/>
          <w:color w:val="000000"/>
          <w:sz w:val="30"/>
          <w:szCs w:val="30"/>
        </w:rPr>
        <w:t>投票处理。</w:t>
      </w:r>
    </w:p>
    <w:p w14:paraId="7582B548">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1DAA508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27D18EB0">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5510E0C4">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0AD3460A">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1396AEB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6450C867">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61958E44">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71616E61">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2183CC06">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CD5B6F3">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5B65F27D">
      <w:pPr>
        <w:wordWrap w:val="0"/>
        <w:spacing w:before="0" w:after="0" w:line="1100" w:lineRule="atLeast"/>
        <w:ind w:right="300"/>
        <w:jc w:val="both"/>
        <w:textAlignment w:val="baseline"/>
        <w:rPr>
          <w:rFonts w:ascii="宋体" w:hAnsi="宋体" w:eastAsia="宋体" w:cs="宋体"/>
          <w:b w:val="0"/>
          <w:i w:val="0"/>
          <w:strike w:val="0"/>
          <w:color w:val="000000"/>
          <w:sz w:val="30"/>
          <w:szCs w:val="30"/>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7F460D6C">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54E84903">
      <w:pPr>
        <w:wordWrap w:val="0"/>
        <w:spacing w:before="0" w:after="0" w:line="420" w:lineRule="exact"/>
        <w:ind w:left="0" w:right="0"/>
        <w:jc w:val="center"/>
        <w:textAlignment w:val="baseline"/>
        <w:rPr>
          <w:sz w:val="30"/>
        </w:rPr>
      </w:pPr>
    </w:p>
    <w:p w14:paraId="6F8B7B5F">
      <w:pPr>
        <w:wordWrap w:val="0"/>
        <w:spacing w:before="0" w:after="0" w:line="420" w:lineRule="exact"/>
        <w:ind w:left="0" w:right="0"/>
        <w:jc w:val="center"/>
        <w:textAlignment w:val="baseline"/>
        <w:rPr>
          <w:sz w:val="30"/>
        </w:rPr>
      </w:pPr>
    </w:p>
    <w:p w14:paraId="10D3A100">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9"/>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41C74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1FE3B17">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3527DBC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0025BF96">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6D30CDE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394C184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4A38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A4FFAD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EB0443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6524A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DF4E9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5EF891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CFE1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077BB98A">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39D95A7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AC6D7D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2381BF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8312D0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446F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6E511B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771CC18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85C4EF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83331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01A23C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91B9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2F85A27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8BBE7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20BE6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3BDC0F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D04958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1D41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AE227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8A307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3291FF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4D8F16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F17928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40C5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0253FB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ECD7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8840A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FEBCBA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D5B0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7B1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79F072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9F655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BB2FC9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201DFF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F645C7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2397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5043D28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7AAD0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D7988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A381AC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10B4D9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400EC314">
      <w:pPr>
        <w:wordWrap w:val="0"/>
        <w:spacing w:before="0" w:after="0" w:line="420" w:lineRule="exact"/>
        <w:ind w:left="0" w:right="0"/>
        <w:jc w:val="left"/>
        <w:textAlignment w:val="baseline"/>
        <w:rPr>
          <w:sz w:val="31"/>
        </w:rPr>
      </w:pPr>
    </w:p>
    <w:p w14:paraId="455DCB73">
      <w:pPr>
        <w:wordWrap w:val="0"/>
        <w:spacing w:before="0" w:after="0" w:line="420" w:lineRule="exact"/>
        <w:ind w:left="0" w:right="0"/>
        <w:jc w:val="left"/>
        <w:textAlignment w:val="baseline"/>
        <w:rPr>
          <w:sz w:val="31"/>
        </w:rPr>
      </w:pPr>
    </w:p>
    <w:p w14:paraId="456065FB">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4607B13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6AA87F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803563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F0B68F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1E4312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2A5C14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C72E7B4">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75033E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E4608B9">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691A4A79">
      <w:pPr>
        <w:pStyle w:val="8"/>
        <w:rPr>
          <w:rFonts w:hint="eastAsia"/>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9"/>
        <w:gridCol w:w="2604"/>
        <w:gridCol w:w="772"/>
        <w:gridCol w:w="709"/>
        <w:gridCol w:w="722"/>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2710A2B8">
            <w:pPr>
              <w:adjustRightInd w:val="0"/>
              <w:snapToGrid w:val="0"/>
              <w:ind w:right="105" w:rightChars="5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项目名称</w:t>
            </w:r>
            <w:r>
              <w:rPr>
                <w:rFonts w:hint="eastAsia" w:ascii="宋体" w:hAnsi="宋体" w:eastAsia="宋体" w:cs="宋体"/>
                <w:sz w:val="21"/>
                <w:szCs w:val="21"/>
                <w:highlight w:val="none"/>
              </w:rPr>
              <w:t>:沈阳市第六人民医院病媒生物防治服务</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2"/>
                <w:szCs w:val="22"/>
              </w:rPr>
            </w:pPr>
            <w:r>
              <w:rPr>
                <w:rFonts w:hint="eastAsia" w:ascii="宋体" w:hAnsi="宋体" w:eastAsia="宋体" w:cs="宋体"/>
                <w:sz w:val="22"/>
                <w:szCs w:val="22"/>
              </w:rPr>
              <w:t>采购文件要求</w:t>
            </w:r>
          </w:p>
          <w:p w14:paraId="41EA1229">
            <w:pPr>
              <w:ind w:hanging="1"/>
              <w:jc w:val="center"/>
              <w:rPr>
                <w:rFonts w:hint="eastAsia" w:ascii="宋体" w:hAnsi="宋体" w:eastAsia="宋体" w:cs="宋体"/>
                <w:b/>
                <w:sz w:val="22"/>
                <w:szCs w:val="22"/>
              </w:rPr>
            </w:pPr>
            <w:r>
              <w:rPr>
                <w:rFonts w:hint="eastAsia" w:ascii="宋体" w:hAnsi="宋体" w:eastAsia="宋体" w:cs="宋体"/>
                <w:b/>
                <w:sz w:val="22"/>
                <w:szCs w:val="22"/>
              </w:rPr>
              <w:t>重要提示：</w:t>
            </w:r>
            <w:r>
              <w:rPr>
                <w:rFonts w:hint="eastAsia" w:ascii="宋体" w:hAnsi="宋体" w:eastAsia="宋体" w:cs="宋体"/>
                <w:b/>
                <w:sz w:val="22"/>
                <w:szCs w:val="22"/>
                <w:lang w:eastAsia="zh-CN"/>
              </w:rPr>
              <w:t>以下内容均为实质性条款，不允许负偏离</w:t>
            </w:r>
            <w:r>
              <w:rPr>
                <w:rFonts w:hint="eastAsia" w:ascii="宋体" w:hAnsi="宋体" w:eastAsia="宋体" w:cs="宋体"/>
                <w:b/>
                <w:sz w:val="22"/>
                <w:szCs w:val="22"/>
              </w:rPr>
              <w:t>，如果负偏离，则响应文件无效。</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7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22" w:firstLineChars="200"/>
              <w:jc w:val="left"/>
              <w:textAlignment w:val="baseline"/>
              <w:rPr>
                <w:rFonts w:hint="default" w:ascii="宋体" w:hAnsi="宋体" w:eastAsia="宋体" w:cs="宋体"/>
                <w:b w:val="0"/>
                <w:i w:val="0"/>
                <w:strike w:val="0"/>
                <w:color w:val="000000"/>
                <w:sz w:val="24"/>
                <w:szCs w:val="24"/>
                <w:lang w:val="en-US" w:eastAsia="zh-CN"/>
              </w:rPr>
            </w:pPr>
            <w:r>
              <w:rPr>
                <w:rFonts w:hint="eastAsia" w:ascii="宋体" w:hAnsi="宋体" w:eastAsia="宋体" w:cs="宋体"/>
                <w:b/>
                <w:sz w:val="21"/>
                <w:szCs w:val="21"/>
              </w:rPr>
              <w:t>★</w:t>
            </w:r>
            <w:r>
              <w:rPr>
                <w:rFonts w:hint="eastAsia" w:ascii="宋体" w:hAnsi="宋体" w:eastAsia="宋体" w:cs="宋体"/>
                <w:b w:val="0"/>
                <w:i w:val="0"/>
                <w:strike w:val="0"/>
                <w:color w:val="000000"/>
                <w:sz w:val="24"/>
                <w:szCs w:val="24"/>
                <w:lang w:val="en-US" w:eastAsia="zh-CN"/>
              </w:rPr>
              <w:t>服务内容</w:t>
            </w:r>
          </w:p>
          <w:p w14:paraId="0C27A5E0">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1.全院区消杀防治。 </w:t>
            </w:r>
          </w:p>
          <w:p w14:paraId="62F86BEA">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2.病房、门诊消杀。 </w:t>
            </w:r>
          </w:p>
          <w:p w14:paraId="33CC178E">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3.综合办公楼、地下停车场、垃圾房、食堂等。 </w:t>
            </w:r>
          </w:p>
          <w:p w14:paraId="22321C17">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4.消杀频次：每月入院全面消杀1次，以上为消杀防治最低频次要求，乙方须根据现场虫害控制实际情况增加有害生物防治频次，额外增加频次甲方不另行支付任何费用。</w:t>
            </w:r>
          </w:p>
          <w:p w14:paraId="0AE0D72B">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5.检查验收标准：达到《全国爱卫会除四害标准》。</w:t>
            </w:r>
          </w:p>
          <w:p w14:paraId="7B1AD1A8">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6.消毒标准：满足甲方要求及国家相关消毒标准。</w:t>
            </w:r>
          </w:p>
          <w:p w14:paraId="1FF21C9C">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7.消杀标准： </w:t>
            </w:r>
          </w:p>
          <w:p w14:paraId="57B2CA19">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（1）灭鼠标准 </w:t>
            </w:r>
          </w:p>
          <w:p w14:paraId="0FDA45C8">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15平方米标准房间布放20×20厘米滑石粉块两块，一夜过后阳性粉块不超过3%；有鼠洞、鼠粪、鼠咬痕等鼠迹房间不超过2%；重点单位防鼠设施不合格处不超过5%。 </w:t>
            </w:r>
          </w:p>
          <w:p w14:paraId="64CAC177">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（2）灭蚊标准 </w:t>
            </w:r>
          </w:p>
          <w:p w14:paraId="199B7560">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①、居民住宅、单位外环境各种存水容器和积水中，蚊幼虫 及蛹的阳性率不超过3%。 </w:t>
            </w:r>
          </w:p>
          <w:p w14:paraId="32794EC1">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②、用500ml收集勺采集城区内大中型水体中的蚊幼虫或蛹阳性率不超过3%，阳性勺内幼虫或蛹的平均数不超过5只。 </w:t>
            </w:r>
          </w:p>
          <w:p w14:paraId="047B392C">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（3）灭蝇标准 </w:t>
            </w:r>
          </w:p>
          <w:p w14:paraId="5BD15288">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重点单位有蚊蝇房间不超过1%，其他单位不超过3%，平均每阳性房间不超过3只；重点单位防蝇设施不合格房间不超过5%；加工、销售直接入口食品的场所不得有蝇。 </w:t>
            </w:r>
          </w:p>
          <w:p w14:paraId="689EE36B">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（4）灭蟑螂标准 </w:t>
            </w:r>
          </w:p>
          <w:p w14:paraId="08F29311">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①、室内有蟑螂成虫或若虫阳性房间不超过3%，平均每间房大蠊不超过5只，小蠊不超过10只。 </w:t>
            </w:r>
          </w:p>
          <w:p w14:paraId="30CD1EC3">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②、有蟑螂粪便、蜕皮等痕迹的房间不超过5%。 </w:t>
            </w:r>
          </w:p>
          <w:p w14:paraId="28611871">
            <w:pPr>
              <w:adjustRightInd w:val="0"/>
              <w:snapToGrid w:val="0"/>
              <w:rPr>
                <w:rFonts w:hint="default" w:ascii="宋体" w:hAnsi="宋体" w:eastAsia="宋体" w:cs="宋体"/>
                <w:szCs w:val="21"/>
                <w:lang w:val="en-US" w:eastAsia="zh-CN"/>
              </w:rPr>
            </w:pPr>
            <w:r>
              <w:rPr>
                <w:rFonts w:hint="eastAsia" w:ascii="宋体" w:hAnsi="宋体" w:eastAsia="宋体" w:cs="宋体"/>
                <w:szCs w:val="21"/>
                <w:lang w:val="en-US" w:eastAsia="zh-CN"/>
              </w:rPr>
              <w:t>8.应急预案处理措施：专人定期做好医院巡视、检查工作（如发现其他虫害在进行商议，特殊处理）</w:t>
            </w:r>
          </w:p>
          <w:p w14:paraId="409483A6">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（1）发生各种突发情况时，必须在2小时内进行服务响应。</w:t>
            </w:r>
          </w:p>
          <w:p w14:paraId="08A0C2E6">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（2）通知有关人员准备车辆、药品、器械等物品，于12小时内到达服务地点。 </w:t>
            </w:r>
          </w:p>
          <w:p w14:paraId="43C3832F">
            <w:pPr>
              <w:adjustRightInd w:val="0"/>
              <w:snapToGrid w:val="0"/>
              <w:rPr>
                <w:rFonts w:hint="default" w:ascii="宋体" w:hAnsi="宋体" w:eastAsia="宋体" w:cs="宋体"/>
                <w:b w:val="0"/>
                <w:bCs/>
                <w:sz w:val="21"/>
                <w:szCs w:val="21"/>
                <w:lang w:val="en-US" w:eastAsia="zh-CN"/>
              </w:rPr>
            </w:pPr>
            <w:r>
              <w:rPr>
                <w:rFonts w:hint="eastAsia" w:ascii="宋体" w:hAnsi="宋体" w:eastAsia="宋体" w:cs="宋体"/>
                <w:szCs w:val="21"/>
                <w:lang w:val="en-US" w:eastAsia="zh-CN"/>
              </w:rPr>
              <w:t>（3）针对各类情况，由乙方专业技术人员现场分析问题所在并及时解决。</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1"/>
                <w:szCs w:val="21"/>
                <w:highlight w:val="none"/>
              </w:rPr>
              <w:t>★</w:t>
            </w:r>
            <w:r>
              <w:rPr>
                <w:rFonts w:hint="eastAsia" w:ascii="宋体" w:hAnsi="宋体" w:eastAsia="宋体" w:cs="宋体"/>
                <w:b w:val="0"/>
                <w:bCs/>
                <w:sz w:val="21"/>
                <w:szCs w:val="21"/>
                <w:highlight w:val="none"/>
                <w:lang w:val="en-US" w:eastAsia="zh-CN"/>
              </w:rPr>
              <w:t>招标文件“附件-服务合同”全部内容</w:t>
            </w:r>
          </w:p>
        </w:tc>
        <w:tc>
          <w:tcPr>
            <w:tcW w:w="1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7D749C06">
            <w:pPr>
              <w:adjustRightInd w:val="0"/>
              <w:snapToGrid w:val="0"/>
              <w:rPr>
                <w:rFonts w:hint="eastAsia" w:ascii="宋体" w:hAnsi="宋体" w:eastAsia="宋体" w:cs="宋体"/>
                <w:szCs w:val="21"/>
                <w:lang w:eastAsia="zh-CN"/>
              </w:rPr>
            </w:pPr>
            <w:r>
              <w:rPr>
                <w:rFonts w:hint="eastAsia" w:ascii="宋体" w:hAnsi="宋体" w:eastAsia="宋体" w:cs="宋体"/>
                <w:szCs w:val="21"/>
                <w:lang w:eastAsia="zh-CN"/>
              </w:rPr>
              <w:t>履约期限：本合同履行期限为一年，自合同签订之日起算。招标服务期限不超过三年，合同采取一年一签方式。合同到期后，医院对乙方服务评价若满意，可依据原合同条款续签一年，合同最多可续签两次。如果乙方违反合同义务且在指定时间整改不到位，医院有权随时终止合同。</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甲方指定地点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361FE866">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甲乙双方签订合同后，拟定为在乙方提供的病媒生物防治服务完全符合合同约定标准及甲方工作要求的前提下，每半年下打租付款一次。付款前甲方对乙方服务质量进行评价，在乙方合格完成半年消杀服务后，甲方支付总款额的50%，待乙方合格完成全年消杀服务后，甲方支付合同剩余总款额的50%，乙方需提供符合甲方要求的发票，否则甲方有权不予支付相应款项并无需承担任何赔偿责任。</w:t>
            </w: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6C23F4C4">
      <w:pPr>
        <w:adjustRightInd w:val="0"/>
        <w:snapToGrid w:val="0"/>
        <w:spacing w:line="360" w:lineRule="auto"/>
        <w:ind w:right="105" w:rightChars="50"/>
        <w:jc w:val="left"/>
        <w:rPr>
          <w:rFonts w:hint="eastAsia" w:ascii="宋体" w:hAnsi="宋体" w:eastAsia="宋体" w:cs="宋体"/>
          <w:b/>
          <w:szCs w:val="21"/>
        </w:rPr>
      </w:pPr>
    </w:p>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A5D7320">
      <w:pPr>
        <w:adjustRightInd w:val="0"/>
        <w:snapToGrid w:val="0"/>
        <w:spacing w:line="480" w:lineRule="auto"/>
        <w:ind w:right="105" w:rightChars="50"/>
        <w:jc w:val="left"/>
        <w:rPr>
          <w:rFonts w:hint="eastAsia" w:ascii="宋体" w:hAnsi="宋体" w:eastAsia="宋体" w:cs="宋体"/>
          <w:szCs w:val="21"/>
          <w:u w:val="single"/>
          <w:lang w:eastAsia="zh-CN"/>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7C432656">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C2751BC">
      <w:pPr>
        <w:spacing w:line="360" w:lineRule="auto"/>
        <w:rPr>
          <w:rFonts w:hint="eastAsia" w:ascii="宋体" w:hAnsi="宋体" w:eastAsia="宋体" w:cs="宋体"/>
          <w:sz w:val="24"/>
          <w:lang w:val="en-US" w:eastAsia="zh-CN"/>
        </w:rPr>
      </w:pPr>
    </w:p>
    <w:p w14:paraId="6E531377">
      <w:pPr>
        <w:spacing w:line="360" w:lineRule="auto"/>
        <w:rPr>
          <w:rFonts w:hint="eastAsia" w:ascii="宋体" w:hAnsi="宋体" w:eastAsia="宋体" w:cs="宋体"/>
          <w:sz w:val="24"/>
          <w:lang w:val="en-US" w:eastAsia="zh-CN"/>
        </w:rPr>
      </w:pPr>
    </w:p>
    <w:p w14:paraId="5288E26F">
      <w:pPr>
        <w:spacing w:line="360" w:lineRule="auto"/>
        <w:rPr>
          <w:rFonts w:hint="eastAsia" w:ascii="宋体" w:hAnsi="宋体" w:eastAsia="宋体" w:cs="宋体"/>
          <w:sz w:val="24"/>
          <w:lang w:val="en-US" w:eastAsia="zh-CN"/>
        </w:rPr>
      </w:pPr>
    </w:p>
    <w:p w14:paraId="68E246E4">
      <w:pPr>
        <w:spacing w:line="360" w:lineRule="auto"/>
        <w:rPr>
          <w:rFonts w:hint="eastAsia" w:ascii="宋体" w:hAnsi="宋体" w:eastAsia="宋体" w:cs="宋体"/>
          <w:sz w:val="24"/>
          <w:lang w:val="en-US" w:eastAsia="zh-CN"/>
        </w:rPr>
      </w:pPr>
    </w:p>
    <w:p w14:paraId="03D5CB55">
      <w:pPr>
        <w:spacing w:line="360" w:lineRule="auto"/>
        <w:rPr>
          <w:rFonts w:hint="eastAsia" w:ascii="宋体" w:hAnsi="宋体" w:eastAsia="宋体" w:cs="宋体"/>
          <w:sz w:val="24"/>
          <w:lang w:val="en-US" w:eastAsia="zh-CN"/>
        </w:rPr>
      </w:pPr>
    </w:p>
    <w:p w14:paraId="67172C87">
      <w:pPr>
        <w:spacing w:line="360" w:lineRule="auto"/>
        <w:rPr>
          <w:rFonts w:hint="eastAsia" w:ascii="宋体" w:hAnsi="宋体" w:eastAsia="宋体" w:cs="宋体"/>
          <w:sz w:val="24"/>
          <w:lang w:val="en-US" w:eastAsia="zh-CN"/>
        </w:rPr>
      </w:pPr>
    </w:p>
    <w:p w14:paraId="178D335D">
      <w:pPr>
        <w:spacing w:line="360" w:lineRule="auto"/>
        <w:rPr>
          <w:rFonts w:hint="eastAsia" w:ascii="宋体" w:hAnsi="宋体" w:eastAsia="宋体" w:cs="宋体"/>
          <w:sz w:val="24"/>
          <w:lang w:val="en-US" w:eastAsia="zh-CN"/>
        </w:rPr>
      </w:pPr>
    </w:p>
    <w:p w14:paraId="57D23574">
      <w:pPr>
        <w:spacing w:line="360" w:lineRule="auto"/>
        <w:rPr>
          <w:rFonts w:hint="eastAsia" w:ascii="宋体" w:hAnsi="宋体" w:eastAsia="宋体" w:cs="宋体"/>
          <w:sz w:val="24"/>
          <w:lang w:val="en-US" w:eastAsia="zh-CN"/>
        </w:rPr>
      </w:pPr>
    </w:p>
    <w:p w14:paraId="6749D035">
      <w:pPr>
        <w:spacing w:line="360" w:lineRule="auto"/>
        <w:rPr>
          <w:rFonts w:hint="eastAsia" w:ascii="宋体" w:hAnsi="宋体" w:eastAsia="宋体" w:cs="宋体"/>
          <w:sz w:val="24"/>
          <w:lang w:val="en-US" w:eastAsia="zh-CN"/>
        </w:rPr>
      </w:pPr>
    </w:p>
    <w:p w14:paraId="5E2AB77A">
      <w:pPr>
        <w:spacing w:line="360" w:lineRule="auto"/>
        <w:rPr>
          <w:rFonts w:hint="eastAsia" w:ascii="宋体" w:hAnsi="宋体" w:eastAsia="宋体" w:cs="宋体"/>
          <w:sz w:val="24"/>
          <w:lang w:val="en-US" w:eastAsia="zh-CN"/>
        </w:rPr>
      </w:pPr>
    </w:p>
    <w:p w14:paraId="2AEE8860">
      <w:pPr>
        <w:spacing w:line="360" w:lineRule="auto"/>
        <w:rPr>
          <w:rFonts w:hint="eastAsia" w:ascii="宋体" w:hAnsi="宋体" w:eastAsia="宋体" w:cs="宋体"/>
          <w:sz w:val="24"/>
          <w:lang w:val="en-US" w:eastAsia="zh-CN"/>
        </w:rPr>
      </w:pPr>
    </w:p>
    <w:p w14:paraId="14713A29">
      <w:pPr>
        <w:spacing w:line="360" w:lineRule="auto"/>
        <w:rPr>
          <w:rFonts w:hint="eastAsia" w:ascii="宋体" w:hAnsi="宋体" w:eastAsia="宋体" w:cs="宋体"/>
          <w:sz w:val="24"/>
          <w:lang w:val="en-US" w:eastAsia="zh-CN"/>
        </w:rPr>
      </w:pPr>
    </w:p>
    <w:p w14:paraId="0D4BCC06">
      <w:pPr>
        <w:spacing w:line="360" w:lineRule="auto"/>
        <w:rPr>
          <w:rFonts w:hint="eastAsia" w:ascii="宋体" w:hAnsi="宋体" w:eastAsia="宋体" w:cs="宋体"/>
          <w:sz w:val="24"/>
          <w:lang w:val="en-US" w:eastAsia="zh-CN"/>
        </w:rPr>
      </w:pPr>
    </w:p>
    <w:p w14:paraId="5243657B">
      <w:pPr>
        <w:spacing w:line="360" w:lineRule="auto"/>
        <w:rPr>
          <w:rFonts w:hint="eastAsia" w:ascii="宋体" w:hAnsi="宋体" w:eastAsia="宋体" w:cs="宋体"/>
          <w:sz w:val="24"/>
          <w:lang w:val="en-US" w:eastAsia="zh-CN"/>
        </w:rPr>
      </w:pPr>
    </w:p>
    <w:p w14:paraId="1E5D152E">
      <w:pPr>
        <w:spacing w:line="360" w:lineRule="auto"/>
        <w:rPr>
          <w:rFonts w:hint="eastAsia" w:ascii="宋体" w:hAnsi="宋体" w:eastAsia="宋体" w:cs="宋体"/>
          <w:sz w:val="24"/>
          <w:lang w:val="en-US" w:eastAsia="zh-CN"/>
        </w:rPr>
      </w:pPr>
    </w:p>
    <w:p w14:paraId="09360CB5">
      <w:pPr>
        <w:spacing w:line="360" w:lineRule="auto"/>
        <w:rPr>
          <w:rFonts w:hint="eastAsia" w:ascii="宋体" w:hAnsi="宋体" w:eastAsia="宋体" w:cs="宋体"/>
          <w:sz w:val="24"/>
          <w:lang w:val="en-US" w:eastAsia="zh-CN"/>
        </w:rPr>
      </w:pPr>
    </w:p>
    <w:p w14:paraId="41EA7E02">
      <w:pPr>
        <w:spacing w:line="360" w:lineRule="auto"/>
        <w:rPr>
          <w:rFonts w:hint="eastAsia" w:ascii="宋体" w:hAnsi="宋体" w:eastAsia="宋体" w:cs="宋体"/>
          <w:sz w:val="24"/>
          <w:lang w:val="en-US" w:eastAsia="zh-CN"/>
        </w:rPr>
      </w:pPr>
    </w:p>
    <w:p w14:paraId="1479A7FF">
      <w:pPr>
        <w:spacing w:line="360" w:lineRule="auto"/>
        <w:rPr>
          <w:rFonts w:hint="eastAsia" w:ascii="宋体" w:hAnsi="宋体" w:eastAsia="宋体" w:cs="宋体"/>
          <w:sz w:val="24"/>
          <w:lang w:val="en-US" w:eastAsia="zh-CN"/>
        </w:rPr>
      </w:pPr>
    </w:p>
    <w:p w14:paraId="2EF9C6DD">
      <w:pPr>
        <w:spacing w:line="360" w:lineRule="auto"/>
        <w:rPr>
          <w:rFonts w:hint="eastAsia" w:ascii="宋体" w:hAnsi="宋体" w:eastAsia="宋体" w:cs="宋体"/>
          <w:sz w:val="24"/>
          <w:lang w:val="en-US" w:eastAsia="zh-CN"/>
        </w:rPr>
      </w:pPr>
    </w:p>
    <w:p w14:paraId="054CE706">
      <w:pPr>
        <w:spacing w:line="360" w:lineRule="auto"/>
        <w:rPr>
          <w:rFonts w:hint="eastAsia" w:ascii="宋体" w:hAnsi="宋体" w:eastAsia="宋体" w:cs="宋体"/>
          <w:sz w:val="24"/>
          <w:lang w:val="en-US" w:eastAsia="zh-CN"/>
        </w:rPr>
      </w:pPr>
    </w:p>
    <w:p w14:paraId="10CCBF99">
      <w:pPr>
        <w:spacing w:line="360" w:lineRule="auto"/>
        <w:rPr>
          <w:rFonts w:hint="eastAsia" w:ascii="宋体" w:hAnsi="宋体" w:eastAsia="宋体" w:cs="宋体"/>
          <w:sz w:val="24"/>
          <w:lang w:val="en-US" w:eastAsia="zh-CN"/>
        </w:rPr>
      </w:pPr>
    </w:p>
    <w:p w14:paraId="2E933DBE">
      <w:pPr>
        <w:spacing w:line="360" w:lineRule="auto"/>
        <w:rPr>
          <w:rFonts w:hint="eastAsia" w:ascii="宋体" w:hAnsi="宋体" w:eastAsia="宋体" w:cs="宋体"/>
          <w:sz w:val="24"/>
          <w:lang w:val="en-US" w:eastAsia="zh-CN"/>
        </w:rPr>
      </w:pPr>
    </w:p>
    <w:p w14:paraId="708A91D1">
      <w:pPr>
        <w:spacing w:line="360" w:lineRule="auto"/>
        <w:rPr>
          <w:rFonts w:hint="default"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03BB614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9"/>
        <w:tblW w:w="506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12"/>
        <w:gridCol w:w="4191"/>
        <w:gridCol w:w="3560"/>
        <w:gridCol w:w="2570"/>
        <w:gridCol w:w="2390"/>
        <w:gridCol w:w="2290"/>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196"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41"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0"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21"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0" w:hRule="atLeast"/>
        </w:trPr>
        <w:tc>
          <w:tcPr>
            <w:tcW w:w="196" w:type="pct"/>
            <w:vMerge w:val="continue"/>
          </w:tcPr>
          <w:p w14:paraId="3E982801">
            <w:pPr>
              <w:rPr>
                <w:sz w:val="13"/>
                <w:szCs w:val="13"/>
              </w:rPr>
            </w:pPr>
          </w:p>
        </w:tc>
        <w:tc>
          <w:tcPr>
            <w:tcW w:w="1341" w:type="pct"/>
            <w:vMerge w:val="continue"/>
          </w:tcPr>
          <w:p w14:paraId="413888AD">
            <w:pPr>
              <w:rPr>
                <w:sz w:val="13"/>
                <w:szCs w:val="13"/>
              </w:rPr>
            </w:pPr>
          </w:p>
        </w:tc>
        <w:tc>
          <w:tcPr>
            <w:tcW w:w="1140" w:type="pct"/>
            <w:vMerge w:val="continue"/>
          </w:tcPr>
          <w:p w14:paraId="576D0E8E">
            <w:pPr>
              <w:rPr>
                <w:sz w:val="13"/>
                <w:szCs w:val="13"/>
              </w:rPr>
            </w:pPr>
          </w:p>
        </w:tc>
        <w:tc>
          <w:tcPr>
            <w:tcW w:w="823" w:type="pct"/>
            <w:vAlign w:val="center"/>
          </w:tcPr>
          <w:p w14:paraId="176E04CD">
            <w:pPr>
              <w:wordWrap w:val="0"/>
              <w:spacing w:before="0" w:after="0" w:line="380" w:lineRule="exact"/>
              <w:ind w:left="0" w:right="0"/>
              <w:jc w:val="both"/>
              <w:textAlignment w:val="baseline"/>
              <w:rPr>
                <w:rFonts w:hint="default" w:ascii="宋体" w:hAnsi="宋体" w:eastAsia="宋体" w:cs="宋体"/>
                <w:b w:val="0"/>
                <w:i w:val="0"/>
                <w:strike w:val="0"/>
                <w:color w:val="000000"/>
                <w:sz w:val="20"/>
                <w:szCs w:val="13"/>
                <w:lang w:val="en-US" w:eastAsia="zh-CN"/>
              </w:rPr>
            </w:pPr>
          </w:p>
        </w:tc>
        <w:tc>
          <w:tcPr>
            <w:tcW w:w="765" w:type="pct"/>
            <w:vAlign w:val="center"/>
          </w:tcPr>
          <w:p w14:paraId="25EB3FA3">
            <w:pPr>
              <w:wordWrap w:val="0"/>
              <w:spacing w:before="0" w:after="0" w:line="380" w:lineRule="exact"/>
              <w:ind w:left="0" w:right="0"/>
              <w:jc w:val="both"/>
              <w:textAlignment w:val="baseline"/>
              <w:rPr>
                <w:rFonts w:hint="default" w:ascii="宋体" w:hAnsi="宋体" w:eastAsia="宋体" w:cs="宋体"/>
                <w:b w:val="0"/>
                <w:i w:val="0"/>
                <w:strike w:val="0"/>
                <w:color w:val="000000"/>
                <w:sz w:val="20"/>
                <w:szCs w:val="13"/>
                <w:lang w:val="en-US" w:eastAsia="zh-CN"/>
              </w:rPr>
            </w:pPr>
          </w:p>
        </w:tc>
        <w:tc>
          <w:tcPr>
            <w:tcW w:w="733" w:type="pct"/>
            <w:vAlign w:val="center"/>
          </w:tcPr>
          <w:p w14:paraId="5DB3465B">
            <w:pPr>
              <w:wordWrap w:val="0"/>
              <w:spacing w:before="0" w:after="0" w:line="380" w:lineRule="exact"/>
              <w:ind w:left="0" w:right="0"/>
              <w:jc w:val="both"/>
              <w:textAlignment w:val="baseline"/>
              <w:rPr>
                <w:rFonts w:hint="default" w:eastAsia="宋体"/>
                <w:sz w:val="20"/>
                <w:szCs w:val="13"/>
                <w:lang w:val="en-US" w:eastAsia="zh-CN"/>
              </w:rPr>
            </w:pP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rPr>
        <w:tc>
          <w:tcPr>
            <w:tcW w:w="196"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41"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0"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4861F50F">
            <w:pPr>
              <w:wordWrap w:val="0"/>
              <w:spacing w:before="0" w:after="0" w:line="380" w:lineRule="exact"/>
              <w:ind w:left="0" w:right="0"/>
              <w:jc w:val="both"/>
              <w:textAlignment w:val="baseline"/>
              <w:rPr>
                <w:rFonts w:hint="default" w:ascii="宋体" w:hAnsi="宋体" w:eastAsia="宋体" w:cs="宋体"/>
                <w:b w:val="0"/>
                <w:i w:val="0"/>
                <w:strike w:val="0"/>
                <w:color w:val="000000"/>
                <w:sz w:val="20"/>
                <w:szCs w:val="13"/>
                <w:lang w:val="en-US" w:eastAsia="zh-CN"/>
              </w:rPr>
            </w:pPr>
            <w:r>
              <w:rPr>
                <w:rFonts w:hint="default" w:ascii="宋体" w:hAnsi="宋体" w:eastAsia="宋体" w:cs="宋体"/>
                <w:b w:val="0"/>
                <w:i w:val="0"/>
                <w:strike w:val="0"/>
                <w:color w:val="000000"/>
                <w:sz w:val="20"/>
                <w:szCs w:val="13"/>
                <w:lang w:val="en-US" w:eastAsia="zh-CN"/>
              </w:rPr>
              <w:t xml:space="preserve"> </w:t>
            </w:r>
          </w:p>
        </w:tc>
        <w:tc>
          <w:tcPr>
            <w:tcW w:w="765" w:type="pct"/>
            <w:vAlign w:val="center"/>
          </w:tcPr>
          <w:p w14:paraId="5F2FBD3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196"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41"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0"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13D49238">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47FC80A8">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rPr>
        <w:tc>
          <w:tcPr>
            <w:tcW w:w="196"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41"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0"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314F6DC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771EE0D4">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196"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41"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0"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6B4DE15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505F339E">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96"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41" w:type="pct"/>
            <w:vAlign w:val="center"/>
          </w:tcPr>
          <w:p w14:paraId="017E412F">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前六个月内任一个月的依法缴纳税收的缴款凭据复印件（注：依法免税的供应商，应提供相关证明材料，包括相关法规要求原文及加盖公章的情况说明）</w:t>
            </w:r>
          </w:p>
        </w:tc>
        <w:tc>
          <w:tcPr>
            <w:tcW w:w="1140"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09090346">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02944EF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96"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41" w:type="pct"/>
            <w:vAlign w:val="center"/>
          </w:tcPr>
          <w:p w14:paraId="2C5C7946">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前六个月内任一个月的依法缴纳社会保障资金的缴款凭据复印件（注：依法不需要缴纳社会保障资金的供应商，应提供相关证明材料，包括相关法规要求原文及加盖公章的情况说明）</w:t>
            </w:r>
          </w:p>
        </w:tc>
        <w:tc>
          <w:tcPr>
            <w:tcW w:w="1140"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2AA25C2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4E9372A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96"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41"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0"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01D3F9D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0524D2CD">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196"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41"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0"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7499094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5D56B27F">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196"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41"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0"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34106AD4">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5B84A441">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0" w:hRule="atLeast"/>
        </w:trPr>
        <w:tc>
          <w:tcPr>
            <w:tcW w:w="196" w:type="pct"/>
            <w:vAlign w:val="center"/>
          </w:tcPr>
          <w:p w14:paraId="753095E1">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41" w:type="pct"/>
            <w:vAlign w:val="center"/>
          </w:tcPr>
          <w:p w14:paraId="55F349CC">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有害生物防治服务A级服务资质</w:t>
            </w:r>
          </w:p>
        </w:tc>
        <w:tc>
          <w:tcPr>
            <w:tcW w:w="1140" w:type="pct"/>
            <w:vAlign w:val="center"/>
          </w:tcPr>
          <w:p w14:paraId="4CECED6A">
            <w:pPr>
              <w:wordWrap w:val="0"/>
              <w:spacing w:before="0" w:after="0" w:line="380" w:lineRule="exact"/>
              <w:ind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0D1549EC">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65" w:type="pct"/>
            <w:vAlign w:val="center"/>
          </w:tcPr>
          <w:p w14:paraId="2BF6D6DE">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33" w:type="pct"/>
            <w:vAlign w:val="center"/>
          </w:tcPr>
          <w:p w14:paraId="2AC57FD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792EB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0" w:hRule="atLeast"/>
        </w:trPr>
        <w:tc>
          <w:tcPr>
            <w:tcW w:w="196" w:type="pct"/>
            <w:vAlign w:val="center"/>
          </w:tcPr>
          <w:p w14:paraId="7F176C34">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11</w:t>
            </w:r>
          </w:p>
        </w:tc>
        <w:tc>
          <w:tcPr>
            <w:tcW w:w="1341" w:type="pct"/>
            <w:vAlign w:val="center"/>
          </w:tcPr>
          <w:p w14:paraId="547C8EE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至少提供四本消杀人员证书（供应商须提供人员有效的证书复印件及响应文件截止时间前六个月内任一个月供应商为相关人员缴纳社会保障资金的缴款凭据复印件或用工合同复印件）</w:t>
            </w:r>
          </w:p>
        </w:tc>
        <w:tc>
          <w:tcPr>
            <w:tcW w:w="1140" w:type="pct"/>
            <w:vAlign w:val="center"/>
          </w:tcPr>
          <w:p w14:paraId="36F0E67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03230E3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65" w:type="pct"/>
            <w:vAlign w:val="center"/>
          </w:tcPr>
          <w:p w14:paraId="33CC681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33" w:type="pct"/>
            <w:vAlign w:val="center"/>
          </w:tcPr>
          <w:p w14:paraId="5CE8A3ED">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74721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38" w:type="pct"/>
            <w:gridSpan w:val="2"/>
            <w:vAlign w:val="center"/>
          </w:tcPr>
          <w:p w14:paraId="6AD244B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0" w:type="pct"/>
            <w:vAlign w:val="center"/>
          </w:tcPr>
          <w:p w14:paraId="0041D98E">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23" w:type="pct"/>
            <w:vAlign w:val="center"/>
          </w:tcPr>
          <w:p w14:paraId="3672EACD">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65" w:type="pct"/>
            <w:vAlign w:val="center"/>
          </w:tcPr>
          <w:p w14:paraId="61CAAF3F">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33" w:type="pct"/>
            <w:vAlign w:val="center"/>
          </w:tcPr>
          <w:p w14:paraId="453DA8D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113" w:right="720" w:bottom="57"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746E4C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619882D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p>
    <w:p w14:paraId="3E1A6A3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9"/>
        <w:tblpPr w:leftFromText="180" w:rightFromText="180" w:vertAnchor="text" w:horzAnchor="page" w:tblpX="692" w:tblpY="166"/>
        <w:tblOverlap w:val="never"/>
        <w:tblW w:w="56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34"/>
        <w:gridCol w:w="4076"/>
        <w:gridCol w:w="3684"/>
        <w:gridCol w:w="2360"/>
        <w:gridCol w:w="2520"/>
        <w:gridCol w:w="2410"/>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02"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299"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74"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2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02"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299"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74"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2" w:type="pct"/>
            <w:vAlign w:val="center"/>
          </w:tcPr>
          <w:p w14:paraId="3F3B369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12BF891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5" w:hRule="atLeast"/>
        </w:trPr>
        <w:tc>
          <w:tcPr>
            <w:tcW w:w="202"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299"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74" w:type="pct"/>
            <w:vAlign w:val="center"/>
          </w:tcPr>
          <w:p w14:paraId="0EF26CB1">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7C96E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61B31E0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0" w:hRule="atLeast"/>
        </w:trPr>
        <w:tc>
          <w:tcPr>
            <w:tcW w:w="202"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299"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74" w:type="pct"/>
            <w:vAlign w:val="center"/>
          </w:tcPr>
          <w:p w14:paraId="0315784A">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423ED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02228C6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5" w:hRule="atLeast"/>
        </w:trPr>
        <w:tc>
          <w:tcPr>
            <w:tcW w:w="202"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299"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74" w:type="pct"/>
            <w:vAlign w:val="center"/>
          </w:tcPr>
          <w:p w14:paraId="5C5D2660">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64C35A5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5C13CC9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5" w:hRule="atLeast"/>
        </w:trPr>
        <w:tc>
          <w:tcPr>
            <w:tcW w:w="202"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299"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74" w:type="pct"/>
            <w:vAlign w:val="center"/>
          </w:tcPr>
          <w:p w14:paraId="38B44A3B">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49273B1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7BC8459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6A5A282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02"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299"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74" w:type="pct"/>
            <w:vAlign w:val="center"/>
          </w:tcPr>
          <w:p w14:paraId="66C5FCC5">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5854BB2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0A3D6D2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79487C4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02"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6</w:t>
            </w:r>
          </w:p>
        </w:tc>
        <w:tc>
          <w:tcPr>
            <w:tcW w:w="1299" w:type="pct"/>
            <w:vAlign w:val="center"/>
          </w:tcPr>
          <w:p w14:paraId="5B516364">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维保范围和内容</w:t>
            </w:r>
          </w:p>
        </w:tc>
        <w:tc>
          <w:tcPr>
            <w:tcW w:w="1174" w:type="pct"/>
            <w:vAlign w:val="center"/>
          </w:tcPr>
          <w:p w14:paraId="55E8E86C">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3C76D4C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469199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02"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299" w:type="pct"/>
            <w:vAlign w:val="center"/>
          </w:tcPr>
          <w:p w14:paraId="5ECCBB63">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供应商企业情况简介（单位资质，人员从业资格，行业业绩等情况）</w:t>
            </w:r>
          </w:p>
        </w:tc>
        <w:tc>
          <w:tcPr>
            <w:tcW w:w="1174" w:type="pct"/>
            <w:vAlign w:val="center"/>
          </w:tcPr>
          <w:p w14:paraId="11EF1832">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736EE2F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4BF89A0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202" w:type="pct"/>
            <w:vAlign w:val="center"/>
          </w:tcPr>
          <w:p w14:paraId="0E85552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8</w:t>
            </w:r>
          </w:p>
        </w:tc>
        <w:tc>
          <w:tcPr>
            <w:tcW w:w="1299" w:type="pct"/>
            <w:vAlign w:val="center"/>
          </w:tcPr>
          <w:p w14:paraId="5AD748C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74" w:type="pct"/>
            <w:vAlign w:val="center"/>
          </w:tcPr>
          <w:p w14:paraId="4C3D3844">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10EECF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346BD9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33296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202" w:type="pct"/>
            <w:vAlign w:val="center"/>
          </w:tcPr>
          <w:p w14:paraId="0008E818">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9</w:t>
            </w:r>
          </w:p>
        </w:tc>
        <w:tc>
          <w:tcPr>
            <w:tcW w:w="1299" w:type="pct"/>
            <w:vAlign w:val="center"/>
          </w:tcPr>
          <w:p w14:paraId="43B7288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74" w:type="pct"/>
            <w:vAlign w:val="center"/>
          </w:tcPr>
          <w:p w14:paraId="07F403E6">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0B4ABB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1893B33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259A1D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19A7B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1501" w:type="pct"/>
            <w:gridSpan w:val="2"/>
            <w:vAlign w:val="center"/>
          </w:tcPr>
          <w:p w14:paraId="1EA2A8F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74" w:type="pct"/>
            <w:vAlign w:val="center"/>
          </w:tcPr>
          <w:p w14:paraId="36CB75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2" w:type="pct"/>
            <w:vAlign w:val="center"/>
          </w:tcPr>
          <w:p w14:paraId="31F9B4F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53BC4C9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2DF1DE2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2683B603">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lang w:val="en-US" w:eastAsia="zh-CN"/>
        </w:rPr>
        <w:t xml:space="preserve">     </w:t>
      </w:r>
      <w:r>
        <w:rPr>
          <w:rFonts w:hint="eastAsia" w:ascii="宋体" w:hAnsi="宋体" w:eastAsia="宋体" w:cs="宋体"/>
          <w:b w:val="0"/>
          <w:i w:val="0"/>
          <w:strike w:val="0"/>
          <w:color w:val="000000"/>
          <w:sz w:val="39"/>
        </w:rPr>
        <w:t>沈阳市第六人民医院病媒生物防治服务</w:t>
      </w:r>
      <w:r>
        <w:rPr>
          <w:rFonts w:hint="eastAsia" w:ascii="宋体" w:hAnsi="宋体" w:eastAsia="宋体" w:cs="宋体"/>
          <w:b w:val="0"/>
          <w:i w:val="0"/>
          <w:strike w:val="0"/>
          <w:color w:val="000000"/>
          <w:sz w:val="39"/>
          <w:lang w:val="en-US" w:eastAsia="zh-CN"/>
        </w:rPr>
        <w:t xml:space="preserve">       </w:t>
      </w:r>
      <w:r>
        <w:rPr>
          <w:rFonts w:ascii="宋体" w:hAnsi="宋体" w:eastAsia="宋体" w:cs="宋体"/>
          <w:b w:val="0"/>
          <w:i w:val="0"/>
          <w:strike w:val="0"/>
          <w:color w:val="000000"/>
          <w:sz w:val="39"/>
        </w:rPr>
        <w:t>最终报价表</w:t>
      </w:r>
    </w:p>
    <w:p w14:paraId="0C9AD3F3">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3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4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0A4151DC">
      <w:pPr>
        <w:rPr>
          <w:rFonts w:hint="eastAsia" w:eastAsia="宋体"/>
          <w:sz w:val="22"/>
          <w:szCs w:val="22"/>
          <w:lang w:eastAsia="zh-CN"/>
        </w:rPr>
      </w:pPr>
      <w:r>
        <w:rPr>
          <w:rFonts w:hint="eastAsia" w:eastAsia="宋体"/>
          <w:sz w:val="22"/>
          <w:szCs w:val="22"/>
          <w:lang w:val="en-US" w:eastAsia="zh-CN"/>
        </w:rPr>
        <w:t>注：</w:t>
      </w:r>
      <w:r>
        <w:rPr>
          <w:rFonts w:hint="eastAsia"/>
          <w:sz w:val="22"/>
          <w:szCs w:val="22"/>
        </w:rPr>
        <w:t>供应商应充分考量各项因素后填写报价。若因报价失误产生任何后果，均由供应商自行承担</w:t>
      </w:r>
      <w:r>
        <w:rPr>
          <w:rFonts w:hint="eastAsia" w:eastAsia="宋体"/>
          <w:sz w:val="22"/>
          <w:szCs w:val="22"/>
          <w:lang w:eastAsia="zh-CN"/>
        </w:rPr>
        <w:t>。</w:t>
      </w:r>
    </w:p>
    <w:p w14:paraId="52B00D81"/>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BE41AC"/>
    <w:rsid w:val="02F51697"/>
    <w:rsid w:val="078C7623"/>
    <w:rsid w:val="09705DB2"/>
    <w:rsid w:val="09937675"/>
    <w:rsid w:val="0C646FEE"/>
    <w:rsid w:val="10F611EF"/>
    <w:rsid w:val="12C50952"/>
    <w:rsid w:val="14284445"/>
    <w:rsid w:val="172D5FAD"/>
    <w:rsid w:val="17690D6E"/>
    <w:rsid w:val="177F397C"/>
    <w:rsid w:val="19544E4B"/>
    <w:rsid w:val="1B6868D0"/>
    <w:rsid w:val="1C66504C"/>
    <w:rsid w:val="1CBC754D"/>
    <w:rsid w:val="1EA700E5"/>
    <w:rsid w:val="1F4245C9"/>
    <w:rsid w:val="1F69530B"/>
    <w:rsid w:val="2319127B"/>
    <w:rsid w:val="244A5959"/>
    <w:rsid w:val="25A008A7"/>
    <w:rsid w:val="25AE09BE"/>
    <w:rsid w:val="284C568F"/>
    <w:rsid w:val="295339EF"/>
    <w:rsid w:val="2C1967D7"/>
    <w:rsid w:val="2F8C5B19"/>
    <w:rsid w:val="34824DFF"/>
    <w:rsid w:val="37515F68"/>
    <w:rsid w:val="38853CBC"/>
    <w:rsid w:val="38990258"/>
    <w:rsid w:val="38ED4C7C"/>
    <w:rsid w:val="3A2147D2"/>
    <w:rsid w:val="3CDC223A"/>
    <w:rsid w:val="3D9F0E00"/>
    <w:rsid w:val="3F2A72E6"/>
    <w:rsid w:val="404D19C2"/>
    <w:rsid w:val="43BB7D65"/>
    <w:rsid w:val="441F0B59"/>
    <w:rsid w:val="46473C05"/>
    <w:rsid w:val="46C540FD"/>
    <w:rsid w:val="47971C01"/>
    <w:rsid w:val="4BB363DE"/>
    <w:rsid w:val="4E21063A"/>
    <w:rsid w:val="5044105B"/>
    <w:rsid w:val="51CF201C"/>
    <w:rsid w:val="520867C2"/>
    <w:rsid w:val="554D4385"/>
    <w:rsid w:val="555A6EF3"/>
    <w:rsid w:val="55AB34E3"/>
    <w:rsid w:val="56061CE0"/>
    <w:rsid w:val="57E83927"/>
    <w:rsid w:val="5D6116DA"/>
    <w:rsid w:val="603A467B"/>
    <w:rsid w:val="603D69B3"/>
    <w:rsid w:val="61217DFB"/>
    <w:rsid w:val="619B08AD"/>
    <w:rsid w:val="635F08F1"/>
    <w:rsid w:val="672927A9"/>
    <w:rsid w:val="686730C6"/>
    <w:rsid w:val="6BB048A5"/>
    <w:rsid w:val="6C027255"/>
    <w:rsid w:val="703924F6"/>
    <w:rsid w:val="72C07F43"/>
    <w:rsid w:val="732B19E8"/>
    <w:rsid w:val="7406030B"/>
    <w:rsid w:val="759F24E1"/>
    <w:rsid w:val="7AAC4F5C"/>
    <w:rsid w:val="7ABD74B4"/>
    <w:rsid w:val="7BFF1417"/>
    <w:rsid w:val="7E9458CD"/>
    <w:rsid w:val="7E94724A"/>
    <w:rsid w:val="7EA072A8"/>
    <w:rsid w:val="7FE9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next w:val="4"/>
    <w:qFormat/>
    <w:uiPriority w:val="0"/>
    <w:pPr>
      <w:spacing w:line="360" w:lineRule="auto"/>
      <w:ind w:firstLine="480" w:firstLineChars="200"/>
    </w:pPr>
    <w:rPr>
      <w:rFonts w:ascii="宋体"/>
      <w:sz w:val="24"/>
    </w:rPr>
  </w:style>
  <w:style w:type="paragraph" w:styleId="4">
    <w:name w:val="Body Text First Indent 2"/>
    <w:basedOn w:val="3"/>
    <w:next w:val="5"/>
    <w:qFormat/>
    <w:uiPriority w:val="0"/>
    <w:pPr>
      <w:spacing w:after="120" w:line="240" w:lineRule="auto"/>
      <w:ind w:left="420" w:leftChars="200" w:firstLine="420"/>
    </w:pPr>
    <w:rPr>
      <w:rFonts w:ascii="Times New Roman"/>
      <w:sz w:val="21"/>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Body Text Indent 3"/>
    <w:basedOn w:val="1"/>
    <w:qFormat/>
    <w:uiPriority w:val="0"/>
    <w:pPr>
      <w:spacing w:line="380" w:lineRule="exact"/>
      <w:ind w:firstLine="480"/>
    </w:pPr>
    <w:rPr>
      <w:kern w:val="0"/>
      <w:sz w:val="24"/>
      <w:szCs w:val="20"/>
    </w:rPr>
  </w:style>
  <w:style w:type="paragraph" w:styleId="8">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4506</Words>
  <Characters>4578</Characters>
  <Lines>0</Lines>
  <Paragraphs>0</Paragraphs>
  <TotalTime>1</TotalTime>
  <ScaleCrop>false</ScaleCrop>
  <LinksUpToDate>false</LinksUpToDate>
  <CharactersWithSpaces>5263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2025-07-14T01:11:00Z</cp:lastPrinted>
  <dcterms:modified xsi:type="dcterms:W3CDTF">2025-08-05T06:54:58Z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F9EF7AB4770B4139BC5AEBAFB4254A11_13</vt:lpwstr>
  </property>
  <property fmtid="{D5CDD505-2E9C-101B-9397-08002B2CF9AE}" pid="4" name="KSOTemplateDocerSaveRecord">
    <vt:lpwstr>eyJoZGlkIjoiZDdhM2I1NmQ2MmNhOTgzNjYwNGUzODgxNTViODc4YWYiLCJ1c2VySWQiOiI5MTU5MzcxODAifQ==</vt:lpwstr>
  </property>
</Properties>
</file>